
<file path=[Content_Types].xml><?xml version="1.0" encoding="utf-8"?>
<Types xmlns="http://schemas.openxmlformats.org/package/2006/content-types">
  <Default Extension="xml" ContentType="application/xml"/>
  <Default Extension="emf" ContentType="image/x-e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e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hAnsi="方正小标宋简体" w:eastAsia="方正小标宋简体"/>
          <w:sz w:val="40"/>
          <w:szCs w:val="40"/>
        </w:rPr>
      </w:pPr>
      <w:r>
        <w:rPr>
          <w:rFonts w:hint="eastAsia" w:ascii="方正小标宋简体" w:hAnsi="方正小标宋简体" w:eastAsia="方正小标宋简体"/>
          <w:sz w:val="40"/>
          <w:szCs w:val="40"/>
        </w:rPr>
        <w:t>《东莞市供水企业监督管理办法》意见采纳情况</w:t>
      </w:r>
      <w:bookmarkStart w:id="0" w:name="_GoBack"/>
      <w:bookmarkEnd w:id="0"/>
      <w:r>
        <w:rPr>
          <w:rFonts w:hint="eastAsia" w:ascii="方正小标宋简体" w:hAnsi="方正小标宋简体" w:eastAsia="方正小标宋简体"/>
          <w:sz w:val="40"/>
          <w:szCs w:val="40"/>
        </w:rPr>
        <w:t>表</w:t>
      </w:r>
    </w:p>
    <w:tbl>
      <w:tblPr>
        <w:tblStyle w:val="5"/>
        <w:tblW w:w="5000"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85"/>
        <w:gridCol w:w="1506"/>
        <w:gridCol w:w="7354"/>
        <w:gridCol w:w="865"/>
        <w:gridCol w:w="36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2" w:hRule="atLeast"/>
          <w:tblHeader/>
        </w:trPr>
        <w:tc>
          <w:tcPr>
            <w:tcW w:w="277" w:type="pct"/>
            <w:vAlign w:val="center"/>
          </w:tcPr>
          <w:p>
            <w:pPr>
              <w:spacing w:line="300" w:lineRule="auto"/>
              <w:jc w:val="center"/>
              <w:rPr>
                <w:rFonts w:ascii="仿宋_GB2312" w:eastAsia="仿宋_GB2312"/>
                <w:sz w:val="24"/>
                <w:szCs w:val="24"/>
              </w:rPr>
            </w:pPr>
            <w:r>
              <w:rPr>
                <w:rFonts w:hint="eastAsia" w:ascii="仿宋_GB2312" w:eastAsia="仿宋_GB2312"/>
                <w:b/>
                <w:bCs/>
                <w:sz w:val="24"/>
                <w:szCs w:val="24"/>
              </w:rPr>
              <w:t>序号</w:t>
            </w:r>
          </w:p>
        </w:tc>
        <w:tc>
          <w:tcPr>
            <w:tcW w:w="531" w:type="pct"/>
            <w:vAlign w:val="center"/>
          </w:tcPr>
          <w:p>
            <w:pPr>
              <w:spacing w:line="300" w:lineRule="auto"/>
              <w:jc w:val="center"/>
              <w:rPr>
                <w:rFonts w:ascii="仿宋_GB2312" w:eastAsia="仿宋_GB2312"/>
                <w:sz w:val="24"/>
                <w:szCs w:val="24"/>
              </w:rPr>
            </w:pPr>
            <w:r>
              <w:rPr>
                <w:rFonts w:hint="eastAsia" w:ascii="仿宋_GB2312" w:eastAsia="仿宋_GB2312"/>
                <w:b/>
                <w:bCs/>
                <w:sz w:val="24"/>
                <w:szCs w:val="24"/>
              </w:rPr>
              <w:t>单位</w:t>
            </w:r>
          </w:p>
        </w:tc>
        <w:tc>
          <w:tcPr>
            <w:tcW w:w="2593" w:type="pct"/>
            <w:vAlign w:val="center"/>
          </w:tcPr>
          <w:p>
            <w:pPr>
              <w:spacing w:line="300" w:lineRule="auto"/>
              <w:jc w:val="center"/>
              <w:rPr>
                <w:rFonts w:ascii="仿宋_GB2312" w:eastAsia="仿宋_GB2312"/>
                <w:sz w:val="24"/>
                <w:szCs w:val="24"/>
              </w:rPr>
            </w:pPr>
            <w:r>
              <w:rPr>
                <w:rFonts w:hint="eastAsia" w:ascii="仿宋_GB2312" w:eastAsia="仿宋_GB2312"/>
                <w:b/>
                <w:bCs/>
                <w:sz w:val="24"/>
                <w:szCs w:val="24"/>
              </w:rPr>
              <w:t>具体反馈意见和建议</w:t>
            </w:r>
          </w:p>
        </w:tc>
        <w:tc>
          <w:tcPr>
            <w:tcW w:w="305" w:type="pct"/>
            <w:vAlign w:val="center"/>
          </w:tcPr>
          <w:p>
            <w:pPr>
              <w:spacing w:line="300" w:lineRule="auto"/>
              <w:jc w:val="center"/>
              <w:rPr>
                <w:rFonts w:ascii="仿宋_GB2312" w:eastAsia="仿宋_GB2312"/>
                <w:sz w:val="24"/>
                <w:szCs w:val="24"/>
              </w:rPr>
            </w:pPr>
            <w:r>
              <w:rPr>
                <w:rFonts w:hint="eastAsia" w:ascii="仿宋_GB2312" w:eastAsia="仿宋_GB2312"/>
                <w:b/>
                <w:bCs/>
                <w:sz w:val="24"/>
                <w:szCs w:val="24"/>
              </w:rPr>
              <w:t>采纳情况</w:t>
            </w:r>
          </w:p>
        </w:tc>
        <w:tc>
          <w:tcPr>
            <w:tcW w:w="1292" w:type="pct"/>
            <w:vAlign w:val="center"/>
          </w:tcPr>
          <w:p>
            <w:pPr>
              <w:spacing w:line="300" w:lineRule="auto"/>
              <w:jc w:val="center"/>
              <w:rPr>
                <w:rFonts w:ascii="仿宋_GB2312" w:eastAsia="仿宋_GB2312"/>
                <w:sz w:val="24"/>
                <w:szCs w:val="24"/>
              </w:rPr>
            </w:pPr>
            <w:r>
              <w:rPr>
                <w:rFonts w:hint="eastAsia" w:ascii="仿宋_GB2312" w:eastAsia="仿宋_GB2312"/>
                <w:b/>
                <w:bCs/>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7" w:type="pct"/>
            <w:vAlign w:val="center"/>
          </w:tcPr>
          <w:p>
            <w:pPr>
              <w:spacing w:line="300" w:lineRule="auto"/>
              <w:jc w:val="center"/>
              <w:rPr>
                <w:rFonts w:hint="eastAsia" w:ascii="仿宋_GB2312" w:eastAsia="仿宋_GB2312"/>
                <w:sz w:val="24"/>
                <w:szCs w:val="24"/>
                <w:lang w:eastAsia="zh-CN"/>
              </w:rPr>
            </w:pPr>
            <w:r>
              <w:rPr>
                <w:rFonts w:hint="eastAsia" w:ascii="仿宋_GB2312" w:eastAsia="仿宋_GB2312"/>
                <w:sz w:val="24"/>
                <w:szCs w:val="24"/>
                <w:lang w:val="en-US" w:eastAsia="zh-CN"/>
              </w:rPr>
              <w:t>1</w:t>
            </w:r>
          </w:p>
        </w:tc>
        <w:tc>
          <w:tcPr>
            <w:tcW w:w="531" w:type="pct"/>
            <w:vMerge w:val="restart"/>
            <w:vAlign w:val="center"/>
          </w:tcPr>
          <w:p>
            <w:pPr>
              <w:spacing w:line="300" w:lineRule="auto"/>
              <w:jc w:val="center"/>
              <w:rPr>
                <w:rFonts w:hint="eastAsia" w:ascii="仿宋_GB2312" w:eastAsia="仿宋_GB2312"/>
                <w:sz w:val="24"/>
                <w:szCs w:val="24"/>
              </w:rPr>
            </w:pPr>
            <w:r>
              <w:rPr>
                <w:rFonts w:hint="eastAsia" w:ascii="仿宋_GB2312" w:eastAsia="仿宋_GB2312"/>
                <w:sz w:val="24"/>
                <w:szCs w:val="24"/>
              </w:rPr>
              <w:t>东莞市水务集团供水有限公司</w:t>
            </w:r>
          </w:p>
        </w:tc>
        <w:tc>
          <w:tcPr>
            <w:tcW w:w="2593" w:type="pct"/>
            <w:vAlign w:val="center"/>
          </w:tcPr>
          <w:p>
            <w:pPr>
              <w:spacing w:line="300" w:lineRule="auto"/>
              <w:rPr>
                <w:rFonts w:hint="eastAsia" w:ascii="仿宋_GB2312" w:eastAsia="仿宋_GB2312"/>
                <w:sz w:val="24"/>
                <w:szCs w:val="24"/>
              </w:rPr>
            </w:pPr>
            <w:r>
              <w:rPr>
                <w:rFonts w:hint="eastAsia" w:ascii="仿宋_GB2312" w:eastAsia="仿宋_GB2312"/>
                <w:sz w:val="24"/>
                <w:szCs w:val="24"/>
              </w:rPr>
              <w:t>1、《东莞市供水企业监督管理办法（第二次征求意见稿）》原文第十二条【取水管理】，“供水企业应于每年</w:t>
            </w:r>
            <w:r>
              <w:rPr>
                <w:rFonts w:ascii="仿宋_GB2312" w:eastAsia="仿宋_GB2312"/>
                <w:sz w:val="24"/>
                <w:szCs w:val="24"/>
              </w:rPr>
              <w:t>12月31日前</w:t>
            </w:r>
            <w:r>
              <w:rPr>
                <w:rFonts w:hint="eastAsia" w:ascii="仿宋_GB2312" w:eastAsia="仿宋_GB2312"/>
                <w:sz w:val="24"/>
                <w:szCs w:val="24"/>
              </w:rPr>
              <w:t>向市水行政主管部门报送本年度的取水情况总结和下一年度的取水计划建议……”，建议修改为“供水企业应于每年</w:t>
            </w:r>
            <w:r>
              <w:rPr>
                <w:rFonts w:ascii="仿宋_GB2312" w:eastAsia="仿宋_GB2312"/>
                <w:sz w:val="24"/>
                <w:szCs w:val="24"/>
              </w:rPr>
              <w:t>1月15</w:t>
            </w:r>
            <w:r>
              <w:rPr>
                <w:rFonts w:hint="eastAsia" w:ascii="仿宋_GB2312" w:eastAsia="仿宋_GB2312"/>
                <w:sz w:val="24"/>
                <w:szCs w:val="24"/>
              </w:rPr>
              <w:t>日前向市水行政主管部门报送上一年度的取水情况总结和本年度的取水计划建议……”。理由：涉及年度取水情况总结和取水计划建议，有完整全年的取水数据进行总结和安排取水计划更合理准确，建议时间延至次年</w:t>
            </w:r>
            <w:r>
              <w:rPr>
                <w:rFonts w:ascii="仿宋_GB2312" w:eastAsia="仿宋_GB2312"/>
                <w:sz w:val="24"/>
                <w:szCs w:val="24"/>
              </w:rPr>
              <w:t>1月15日前提交相关资料。</w:t>
            </w:r>
          </w:p>
        </w:tc>
        <w:tc>
          <w:tcPr>
            <w:tcW w:w="305"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采纳</w:t>
            </w:r>
          </w:p>
        </w:tc>
        <w:tc>
          <w:tcPr>
            <w:tcW w:w="1292" w:type="pct"/>
            <w:vAlign w:val="center"/>
          </w:tcPr>
          <w:p>
            <w:pPr>
              <w:spacing w:line="300" w:lineRule="auto"/>
              <w:rPr>
                <w:rFonts w:hint="eastAsia" w:ascii="仿宋_GB2312" w:eastAsia="仿宋_GB2312"/>
                <w:sz w:val="24"/>
                <w:szCs w:val="24"/>
              </w:rPr>
            </w:pPr>
            <w:r>
              <w:rPr>
                <w:rFonts w:hint="eastAsia" w:ascii="仿宋_GB2312" w:eastAsia="仿宋_GB2312"/>
                <w:sz w:val="24"/>
                <w:szCs w:val="24"/>
              </w:rPr>
              <w:t>综合考虑供水企业年度情况总结和市水务局评估周期要求，将资料时间调整至次年1月1</w:t>
            </w:r>
            <w:r>
              <w:rPr>
                <w:rFonts w:ascii="仿宋_GB2312" w:eastAsia="仿宋_GB2312"/>
                <w:sz w:val="24"/>
                <w:szCs w:val="24"/>
              </w:rPr>
              <w:t>0</w:t>
            </w:r>
            <w:r>
              <w:rPr>
                <w:rFonts w:hint="eastAsia" w:ascii="仿宋_GB2312" w:eastAsia="仿宋_GB2312"/>
                <w:sz w:val="24"/>
                <w:szCs w:val="24"/>
              </w:rPr>
              <w:t>日，与年度工作总结报告、自评得分表及相关佐证材料同一时间提交。详见《办法》中“第十二条”相关内容。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7" w:type="pct"/>
            <w:vAlign w:val="center"/>
          </w:tcPr>
          <w:p>
            <w:pPr>
              <w:spacing w:line="300" w:lineRule="auto"/>
              <w:jc w:val="center"/>
              <w:rPr>
                <w:rFonts w:hint="eastAsia" w:ascii="仿宋_GB2312" w:eastAsia="仿宋_GB2312"/>
                <w:sz w:val="24"/>
                <w:szCs w:val="24"/>
                <w:lang w:eastAsia="zh-CN"/>
              </w:rPr>
            </w:pPr>
            <w:r>
              <w:rPr>
                <w:rFonts w:hint="eastAsia" w:ascii="仿宋_GB2312" w:eastAsia="仿宋_GB2312"/>
                <w:sz w:val="24"/>
                <w:szCs w:val="24"/>
                <w:lang w:val="en-US" w:eastAsia="zh-CN"/>
              </w:rPr>
              <w:t>2</w:t>
            </w:r>
          </w:p>
        </w:tc>
        <w:tc>
          <w:tcPr>
            <w:tcW w:w="531" w:type="pct"/>
            <w:vMerge w:val="continue"/>
            <w:vAlign w:val="center"/>
          </w:tcPr>
          <w:p>
            <w:pPr>
              <w:spacing w:line="300" w:lineRule="auto"/>
              <w:jc w:val="center"/>
              <w:rPr>
                <w:rFonts w:ascii="仿宋_GB2312" w:eastAsia="仿宋_GB2312"/>
                <w:sz w:val="24"/>
                <w:szCs w:val="24"/>
              </w:rPr>
            </w:pPr>
          </w:p>
        </w:tc>
        <w:tc>
          <w:tcPr>
            <w:tcW w:w="2593" w:type="pct"/>
            <w:vAlign w:val="center"/>
          </w:tcPr>
          <w:p>
            <w:pPr>
              <w:spacing w:line="300" w:lineRule="auto"/>
              <w:rPr>
                <w:rFonts w:hint="eastAsia" w:ascii="仿宋_GB2312" w:eastAsia="仿宋_GB2312"/>
                <w:sz w:val="24"/>
                <w:szCs w:val="24"/>
              </w:rPr>
            </w:pPr>
            <w:r>
              <w:rPr>
                <w:rFonts w:hint="eastAsia" w:ascii="仿宋_GB2312" w:eastAsia="仿宋_GB2312"/>
                <w:sz w:val="24"/>
                <w:szCs w:val="24"/>
              </w:rPr>
              <w:t>2、《东莞市供水企业年度评估标准及评分表（第二次征求意见稿）》中“7.5低碳节能，输配水千吨水能耗＜320kW·h·(km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的，得1分”的评分标准，建议参考《浙江省城市供水现代化水厂评价标准》（2018），3.1.3条配水电耗评价要求，按水厂规模对应配水电耗标准，相对合理。具体配水电耗评价要求为水厂规模≥61万m</w:t>
            </w:r>
            <w:r>
              <w:rPr>
                <w:rFonts w:ascii="仿宋_GB2312" w:eastAsia="仿宋_GB2312"/>
                <w:sz w:val="24"/>
                <w:szCs w:val="24"/>
                <w:vertAlign w:val="superscript"/>
              </w:rPr>
              <w:t>3</w:t>
            </w:r>
            <w:r>
              <w:rPr>
                <w:rFonts w:hint="eastAsia" w:ascii="仿宋_GB2312" w:eastAsia="仿宋_GB2312"/>
                <w:sz w:val="24"/>
                <w:szCs w:val="24"/>
              </w:rPr>
              <w:t>/d，对应输配水千吨水能耗标准为380kW·h·(km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；水厂规模31-60万m</w:t>
            </w:r>
            <w:r>
              <w:rPr>
                <w:rFonts w:hint="eastAsia" w:ascii="仿宋_GB2312" w:eastAsia="仿宋_GB2312"/>
                <w:sz w:val="24"/>
                <w:szCs w:val="24"/>
                <w:vertAlign w:val="superscript"/>
              </w:rPr>
              <w:t>3</w:t>
            </w:r>
            <w:r>
              <w:rPr>
                <w:rFonts w:hint="eastAsia" w:ascii="仿宋_GB2312" w:eastAsia="仿宋_GB2312"/>
                <w:sz w:val="24"/>
                <w:szCs w:val="24"/>
              </w:rPr>
              <w:t>/d，对应输配水千吨水能耗标准为390kW·h·(km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；水厂规模11-30万m</w:t>
            </w:r>
            <w:r>
              <w:rPr>
                <w:rFonts w:hint="eastAsia" w:ascii="仿宋_GB2312" w:eastAsia="仿宋_GB2312"/>
                <w:sz w:val="24"/>
                <w:szCs w:val="24"/>
                <w:vertAlign w:val="superscript"/>
              </w:rPr>
              <w:t>3</w:t>
            </w:r>
            <w:r>
              <w:rPr>
                <w:rFonts w:hint="eastAsia" w:ascii="仿宋_GB2312" w:eastAsia="仿宋_GB2312"/>
                <w:sz w:val="24"/>
                <w:szCs w:val="24"/>
              </w:rPr>
              <w:t>/d，对应输配水千吨水能耗标准为395kW·h·(km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；水厂规模5-10万m</w:t>
            </w:r>
            <w:r>
              <w:rPr>
                <w:rFonts w:hint="eastAsia" w:ascii="仿宋_GB2312" w:eastAsia="仿宋_GB2312"/>
                <w:sz w:val="24"/>
                <w:szCs w:val="24"/>
                <w:vertAlign w:val="superscript"/>
              </w:rPr>
              <w:t>3</w:t>
            </w:r>
            <w:r>
              <w:rPr>
                <w:rFonts w:hint="eastAsia" w:ascii="仿宋_GB2312" w:eastAsia="仿宋_GB2312"/>
                <w:sz w:val="24"/>
                <w:szCs w:val="24"/>
              </w:rPr>
              <w:t>/d，对应输配水千吨水能耗标准为400kW·h·(km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。主要有4点原因：一是输配水千吨水能耗与水厂规模存在一定的关系。主要体现水厂规模越大，输配水能耗相对越低。我司目前采用加压对外配水的水厂共有23间，具体输配水千吨水能耗为：2间水厂规模≥61万m</w:t>
            </w:r>
            <w:r>
              <w:rPr>
                <w:rFonts w:hint="eastAsia" w:ascii="仿宋_GB2312" w:eastAsia="仿宋_GB2312"/>
                <w:sz w:val="24"/>
                <w:szCs w:val="24"/>
                <w:vertAlign w:val="superscript"/>
              </w:rPr>
              <w:t>3</w:t>
            </w:r>
            <w:r>
              <w:rPr>
                <w:rFonts w:hint="eastAsia" w:ascii="仿宋_GB2312" w:eastAsia="仿宋_GB2312"/>
                <w:sz w:val="24"/>
                <w:szCs w:val="24"/>
              </w:rPr>
              <w:t>/d，对应输配水千吨水能耗的平均值为356.5kW·h·(km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；3间水厂规模31-60万m</w:t>
            </w:r>
            <w:r>
              <w:rPr>
                <w:rFonts w:hint="eastAsia" w:ascii="仿宋_GB2312" w:eastAsia="仿宋_GB2312"/>
                <w:sz w:val="24"/>
                <w:szCs w:val="24"/>
                <w:vertAlign w:val="superscript"/>
              </w:rPr>
              <w:t>3</w:t>
            </w:r>
            <w:r>
              <w:rPr>
                <w:rFonts w:hint="eastAsia" w:ascii="仿宋_GB2312" w:eastAsia="仿宋_GB2312"/>
                <w:sz w:val="24"/>
                <w:szCs w:val="24"/>
              </w:rPr>
              <w:t>/d，对应输配水千吨水能耗的平均值为363.3kW·h·(km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；8间水厂规模11-30万m</w:t>
            </w:r>
            <w:r>
              <w:rPr>
                <w:rFonts w:hint="eastAsia" w:ascii="仿宋_GB2312" w:eastAsia="仿宋_GB2312"/>
                <w:sz w:val="24"/>
                <w:szCs w:val="24"/>
                <w:vertAlign w:val="superscript"/>
              </w:rPr>
              <w:t>3</w:t>
            </w:r>
            <w:r>
              <w:rPr>
                <w:rFonts w:hint="eastAsia" w:ascii="仿宋_GB2312" w:eastAsia="仿宋_GB2312"/>
                <w:sz w:val="24"/>
                <w:szCs w:val="24"/>
              </w:rPr>
              <w:t>/d，对应输配水千吨水能耗的平均值为409.12kW·h·(km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；9间水厂规模5-10万m</w:t>
            </w:r>
            <w:r>
              <w:rPr>
                <w:rFonts w:hint="eastAsia" w:ascii="仿宋_GB2312" w:eastAsia="仿宋_GB2312"/>
                <w:sz w:val="24"/>
                <w:szCs w:val="24"/>
                <w:vertAlign w:val="superscript"/>
              </w:rPr>
              <w:t>3</w:t>
            </w:r>
            <w:r>
              <w:rPr>
                <w:rFonts w:hint="eastAsia" w:ascii="仿宋_GB2312" w:eastAsia="仿宋_GB2312"/>
                <w:sz w:val="24"/>
                <w:szCs w:val="24"/>
              </w:rPr>
              <w:t>/d，对应输配水千吨水能耗的平均值为431.33kW·h·(km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；1间水厂规模低于5万m</w:t>
            </w:r>
            <w:r>
              <w:rPr>
                <w:rFonts w:hint="eastAsia" w:ascii="仿宋_GB2312" w:eastAsia="仿宋_GB2312"/>
                <w:sz w:val="24"/>
                <w:szCs w:val="24"/>
                <w:vertAlign w:val="superscript"/>
              </w:rPr>
              <w:t>3</w:t>
            </w:r>
            <w:r>
              <w:rPr>
                <w:rFonts w:hint="eastAsia" w:ascii="仿宋_GB2312" w:eastAsia="仿宋_GB2312"/>
                <w:sz w:val="24"/>
                <w:szCs w:val="24"/>
              </w:rPr>
              <w:t>/d，对应输配水千吨水能耗的值为492kW·h·(km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。因此，水厂规模与输配水千吨水能耗息息相关的实际情况。二是规划纲要的原文是到2035年水平年达到320kW·h·(km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的远景目标，不建议以2035规划目标考核现有设备设施。三是目前现有的水泵机组效率最高且配备了全变频的第六水厂在最优工况下的输配水千吨水能耗为344kW·h·(km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，而后续新建的松山湖水厂选用的配水机组在最佳工况下计算出的配水单耗为328.4kW·h·(km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。这两间条件相对较为好的水厂均未能达到320kW·h·(km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的评分标准。四是输配水千吨水能耗320kW·h·(km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，对应的配水泵组的整体运行效率要达到85%以上。配水泵组常用电机为极数4、6、8，国标1级能效效率值约为97%；水泵常用按5000m</w:t>
            </w:r>
            <w:r>
              <w:rPr>
                <w:rFonts w:hint="eastAsia" w:ascii="仿宋_GB2312" w:hAnsi="Calibri" w:eastAsia="仿宋_GB2312" w:cs="Calibri"/>
                <w:sz w:val="24"/>
                <w:szCs w:val="24"/>
                <w:vertAlign w:val="superscript"/>
              </w:rPr>
              <w:t>3</w:t>
            </w:r>
            <w:r>
              <w:rPr>
                <w:rFonts w:hint="eastAsia" w:ascii="仿宋_GB2312" w:eastAsia="仿宋_GB2312"/>
                <w:sz w:val="24"/>
                <w:szCs w:val="24"/>
              </w:rPr>
              <w:t>/小时算，节能评价值效率值为90%，变频器行业最好的效率值为97.5%；联轴器理论效率值为99%，整体效率值=97%×90%×97.5%×99%=84.27%，在不考虑损耗的情况下仍未达到85%的评分标准。而实际运行中存在各种阀门、弯头摩擦损耗和用户用水需求偏离设备设计最高效点运行等因素影响导致配水机组效率下降，一般会下降至少3个百分点。</w:t>
            </w:r>
          </w:p>
        </w:tc>
        <w:tc>
          <w:tcPr>
            <w:tcW w:w="305"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不采纳</w:t>
            </w:r>
          </w:p>
        </w:tc>
        <w:tc>
          <w:tcPr>
            <w:tcW w:w="1292" w:type="pct"/>
            <w:vAlign w:val="center"/>
          </w:tcPr>
          <w:p>
            <w:pPr>
              <w:spacing w:line="300" w:lineRule="auto"/>
              <w:rPr>
                <w:rFonts w:hint="eastAsia" w:ascii="仿宋_GB2312" w:eastAsia="仿宋_GB2312"/>
                <w:sz w:val="24"/>
                <w:szCs w:val="24"/>
              </w:rPr>
            </w:pPr>
            <w:r>
              <w:rPr>
                <w:rFonts w:hint="eastAsia" w:ascii="仿宋_GB2312" w:eastAsia="仿宋_GB2312"/>
                <w:sz w:val="24"/>
                <w:szCs w:val="24"/>
              </w:rPr>
              <w:t>参考《广东省城市供水及二次供水管理评估指标及评分方法（2</w:t>
            </w:r>
            <w:r>
              <w:rPr>
                <w:rFonts w:ascii="仿宋_GB2312" w:eastAsia="仿宋_GB2312"/>
                <w:sz w:val="24"/>
                <w:szCs w:val="24"/>
              </w:rPr>
              <w:t>022</w:t>
            </w:r>
            <w:r>
              <w:rPr>
                <w:rFonts w:hint="eastAsia" w:ascii="仿宋_GB2312" w:eastAsia="仿宋_GB2312"/>
                <w:sz w:val="24"/>
                <w:szCs w:val="24"/>
              </w:rPr>
              <w:t>年版）》评分表中“七、附加分-</w:t>
            </w:r>
            <w:r>
              <w:rPr>
                <w:rFonts w:ascii="仿宋_GB2312" w:eastAsia="仿宋_GB2312"/>
                <w:sz w:val="24"/>
                <w:szCs w:val="24"/>
              </w:rPr>
              <w:t>G</w:t>
            </w:r>
            <w:r>
              <w:rPr>
                <w:rFonts w:hint="eastAsia" w:ascii="仿宋_GB2312" w:eastAsia="仿宋_GB2312"/>
                <w:sz w:val="24"/>
                <w:szCs w:val="24"/>
              </w:rPr>
              <w:t>低碳节能”章节要求：药剂有效使用率＞</w:t>
            </w:r>
            <w:r>
              <w:rPr>
                <w:rFonts w:ascii="仿宋_GB2312" w:eastAsia="仿宋_GB2312"/>
                <w:sz w:val="24"/>
                <w:szCs w:val="24"/>
              </w:rPr>
              <w:t>85%</w:t>
            </w:r>
            <w:r>
              <w:rPr>
                <w:rFonts w:hint="eastAsia" w:ascii="仿宋_GB2312" w:eastAsia="仿宋_GB2312"/>
                <w:sz w:val="24"/>
                <w:szCs w:val="24"/>
              </w:rPr>
              <w:t>的，得</w:t>
            </w:r>
            <w:r>
              <w:rPr>
                <w:rFonts w:ascii="仿宋_GB2312" w:eastAsia="仿宋_GB2312"/>
                <w:sz w:val="24"/>
                <w:szCs w:val="24"/>
              </w:rPr>
              <w:t>0.5</w:t>
            </w:r>
            <w:r>
              <w:rPr>
                <w:rFonts w:hint="eastAsia" w:ascii="仿宋_GB2312" w:eastAsia="仿宋_GB2312"/>
                <w:sz w:val="24"/>
                <w:szCs w:val="24"/>
              </w:rPr>
              <w:t>分，输配水千吨水能耗＜320kW·h·(km</w:t>
            </w:r>
            <w:r>
              <w:rPr>
                <w:rFonts w:hint="eastAsia" w:ascii="仿宋_GB2312" w:eastAsia="仿宋_GB2312"/>
                <w:sz w:val="24"/>
                <w:szCs w:val="24"/>
                <w:vertAlign w:val="superscript"/>
              </w:rPr>
              <w:t>3</w:t>
            </w:r>
            <w:r>
              <w:rPr>
                <w:rFonts w:hint="eastAsia" w:ascii="仿宋_GB2312" w:eastAsia="仿宋_GB2312"/>
                <w:sz w:val="24"/>
                <w:szCs w:val="24"/>
              </w:rPr>
              <w:t>·bar)</w:t>
            </w:r>
            <w:r>
              <w:rPr>
                <w:rFonts w:hint="eastAsia" w:ascii="仿宋_GB2312" w:eastAsia="仿宋_GB2312"/>
                <w:sz w:val="24"/>
                <w:szCs w:val="24"/>
                <w:vertAlign w:val="superscript"/>
              </w:rPr>
              <w:t>－1</w:t>
            </w:r>
            <w:r>
              <w:rPr>
                <w:rFonts w:hint="eastAsia" w:ascii="仿宋_GB2312" w:eastAsia="仿宋_GB2312"/>
                <w:sz w:val="24"/>
                <w:szCs w:val="24"/>
              </w:rPr>
              <w:t>的，得1分。加之“7.5低碳节能”为附加分章节，应适当提高标准、超前谋划，因此本条意见不采纳。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7" w:type="pct"/>
            <w:vAlign w:val="center"/>
          </w:tcPr>
          <w:p>
            <w:pPr>
              <w:spacing w:line="300" w:lineRule="auto"/>
              <w:jc w:val="center"/>
              <w:rPr>
                <w:rFonts w:hint="eastAsia" w:ascii="仿宋_GB2312" w:eastAsia="仿宋_GB2312"/>
                <w:sz w:val="24"/>
                <w:szCs w:val="24"/>
                <w:lang w:eastAsia="zh-CN"/>
              </w:rPr>
            </w:pPr>
            <w:r>
              <w:rPr>
                <w:rFonts w:hint="eastAsia" w:ascii="仿宋_GB2312" w:eastAsia="仿宋_GB2312"/>
                <w:sz w:val="24"/>
                <w:szCs w:val="24"/>
                <w:lang w:val="en-US" w:eastAsia="zh-CN"/>
              </w:rPr>
              <w:t>3</w:t>
            </w:r>
          </w:p>
        </w:tc>
        <w:tc>
          <w:tcPr>
            <w:tcW w:w="531" w:type="pct"/>
            <w:vMerge w:val="continue"/>
            <w:vAlign w:val="center"/>
          </w:tcPr>
          <w:p>
            <w:pPr>
              <w:spacing w:line="300" w:lineRule="auto"/>
              <w:jc w:val="center"/>
              <w:rPr>
                <w:rFonts w:ascii="仿宋_GB2312" w:eastAsia="仿宋_GB2312"/>
                <w:sz w:val="24"/>
                <w:szCs w:val="24"/>
              </w:rPr>
            </w:pPr>
          </w:p>
        </w:tc>
        <w:tc>
          <w:tcPr>
            <w:tcW w:w="2593" w:type="pct"/>
            <w:vAlign w:val="center"/>
          </w:tcPr>
          <w:p>
            <w:pPr>
              <w:spacing w:line="300" w:lineRule="auto"/>
              <w:rPr>
                <w:rFonts w:hint="eastAsia" w:ascii="仿宋_GB2312" w:eastAsia="仿宋_GB2312"/>
                <w:sz w:val="24"/>
                <w:szCs w:val="24"/>
              </w:rPr>
            </w:pPr>
            <w:r>
              <w:rPr>
                <w:rFonts w:hint="eastAsia" w:ascii="仿宋_GB2312" w:eastAsia="仿宋_GB2312"/>
                <w:sz w:val="24"/>
                <w:szCs w:val="24"/>
              </w:rPr>
              <w:t>3、《东莞市供水企业年度评估标准及评分表（第二次征求意见稿）》中2.2.3水质检测实施-依据3.《城市供水水质标准》要求中出厂水检测依据（GB5749—2006）均应更改为（GB5749—2022），新的生活饮用水卫生标准已于2023年4月1日执行；2.2.3水质检测实施中第3点“管网水质采样点数量未达到要求，即未按供水人口每两万人设一个采样点布设的（供水人口在20万以下、100万以上时可酌量增减），扣1分”。根据住房城乡建设部办公厅最新发布的关于行业标准《城市供水水质标准（修订征求意见稿）》公开征求意见的通知，CJ/T206城市供水水质标准（修订征求意见稿）中对管网水水质采样点要求调整为“管网水采样点设置数量一般按供水服务人口每2万人或供水服务面积每2平方公里设置1个。供水服务人口低于30万时应酌量增加，不足10万人时应不少于8个；供水服务人口高于100万时应酌量减少，但至少应每5万人设1个采样点。管网末端水的采样点比例不少于10%，数量不低于2个”。为避免新标准实施后导致评估考核标准及评分表频繁修订，建议修改为“管网水质采样点数量未达到《城市供水水质标准》《城市给水工程项目规范》要求的，扣1分”。</w:t>
            </w:r>
          </w:p>
        </w:tc>
        <w:tc>
          <w:tcPr>
            <w:tcW w:w="305"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采纳</w:t>
            </w:r>
          </w:p>
        </w:tc>
        <w:tc>
          <w:tcPr>
            <w:tcW w:w="1292" w:type="pct"/>
            <w:vAlign w:val="center"/>
          </w:tcPr>
          <w:p>
            <w:pPr>
              <w:spacing w:line="300" w:lineRule="auto"/>
              <w:rPr>
                <w:rFonts w:ascii="仿宋_GB2312" w:eastAsia="仿宋_GB2312"/>
                <w:sz w:val="24"/>
                <w:szCs w:val="24"/>
              </w:rPr>
            </w:pPr>
            <w:r>
              <w:rPr>
                <w:rFonts w:hint="eastAsia" w:ascii="仿宋_GB2312" w:eastAsia="仿宋_GB2312"/>
                <w:sz w:val="24"/>
                <w:szCs w:val="24"/>
              </w:rPr>
              <w:t>已修改，详见附件评分表中“2</w:t>
            </w:r>
            <w:r>
              <w:rPr>
                <w:rFonts w:ascii="仿宋_GB2312" w:eastAsia="仿宋_GB2312"/>
                <w:sz w:val="24"/>
                <w:szCs w:val="24"/>
              </w:rPr>
              <w:t>.2.3</w:t>
            </w:r>
            <w:r>
              <w:rPr>
                <w:rFonts w:hint="eastAsia" w:ascii="仿宋_GB2312" w:eastAsia="仿宋_GB2312"/>
                <w:sz w:val="24"/>
                <w:szCs w:val="24"/>
              </w:rPr>
              <w:t>水质检测实施”相关内容。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7" w:type="pct"/>
            <w:vAlign w:val="center"/>
          </w:tcPr>
          <w:p>
            <w:pPr>
              <w:spacing w:line="300" w:lineRule="auto"/>
              <w:jc w:val="center"/>
              <w:rPr>
                <w:rFonts w:hint="eastAsia" w:ascii="仿宋_GB2312" w:eastAsia="仿宋_GB2312"/>
                <w:sz w:val="24"/>
                <w:szCs w:val="24"/>
                <w:lang w:eastAsia="zh-CN"/>
              </w:rPr>
            </w:pPr>
            <w:r>
              <w:rPr>
                <w:rFonts w:hint="eastAsia" w:ascii="仿宋_GB2312" w:eastAsia="仿宋_GB2312"/>
                <w:sz w:val="24"/>
                <w:szCs w:val="24"/>
                <w:lang w:val="en-US" w:eastAsia="zh-CN"/>
              </w:rPr>
              <w:t>4</w:t>
            </w:r>
          </w:p>
        </w:tc>
        <w:tc>
          <w:tcPr>
            <w:tcW w:w="531" w:type="pct"/>
            <w:vMerge w:val="continue"/>
            <w:vAlign w:val="center"/>
          </w:tcPr>
          <w:p>
            <w:pPr>
              <w:spacing w:line="300" w:lineRule="auto"/>
              <w:jc w:val="center"/>
              <w:rPr>
                <w:rFonts w:ascii="仿宋_GB2312" w:eastAsia="仿宋_GB2312"/>
                <w:sz w:val="24"/>
                <w:szCs w:val="24"/>
              </w:rPr>
            </w:pPr>
          </w:p>
        </w:tc>
        <w:tc>
          <w:tcPr>
            <w:tcW w:w="2593" w:type="pct"/>
            <w:vAlign w:val="center"/>
          </w:tcPr>
          <w:p>
            <w:pPr>
              <w:spacing w:line="300" w:lineRule="auto"/>
              <w:rPr>
                <w:rFonts w:hint="eastAsia" w:ascii="仿宋_GB2312" w:eastAsia="仿宋_GB2312"/>
                <w:sz w:val="24"/>
                <w:szCs w:val="24"/>
              </w:rPr>
            </w:pPr>
            <w:r>
              <w:rPr>
                <w:rFonts w:hint="eastAsia" w:ascii="仿宋_GB2312" w:eastAsia="仿宋_GB2312"/>
                <w:sz w:val="24"/>
                <w:szCs w:val="24"/>
              </w:rPr>
              <w:t>4、《东莞市供水企业年度评估标准及评分表（第二次征求意见稿）》中2.2.5水质自检计划及水质信息报告-依据：42项检测应修改为43项，GB5749-2022已经删除耐热大肠菌群的标准，出厂水检测项目应删除耐热大肠菌群。《城市供水水质标准》要求出厂水质检验项目CODMn建议更改为高锰酸盐指数。</w:t>
            </w:r>
          </w:p>
        </w:tc>
        <w:tc>
          <w:tcPr>
            <w:tcW w:w="305"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采纳</w:t>
            </w:r>
          </w:p>
        </w:tc>
        <w:tc>
          <w:tcPr>
            <w:tcW w:w="1292" w:type="pct"/>
            <w:vAlign w:val="center"/>
          </w:tcPr>
          <w:p>
            <w:pPr>
              <w:spacing w:line="300" w:lineRule="auto"/>
              <w:rPr>
                <w:rFonts w:ascii="仿宋_GB2312" w:eastAsia="仿宋_GB2312"/>
                <w:sz w:val="24"/>
                <w:szCs w:val="24"/>
              </w:rPr>
            </w:pPr>
            <w:r>
              <w:rPr>
                <w:rFonts w:hint="eastAsia" w:ascii="仿宋_GB2312" w:eastAsia="仿宋_GB2312"/>
                <w:sz w:val="24"/>
                <w:szCs w:val="24"/>
              </w:rPr>
              <w:t>已修改，详见附件评分表中“2</w:t>
            </w:r>
            <w:r>
              <w:rPr>
                <w:rFonts w:ascii="仿宋_GB2312" w:eastAsia="仿宋_GB2312"/>
                <w:sz w:val="24"/>
                <w:szCs w:val="24"/>
              </w:rPr>
              <w:t>.2.5</w:t>
            </w:r>
            <w:r>
              <w:rPr>
                <w:rFonts w:hint="eastAsia" w:ascii="仿宋_GB2312" w:eastAsia="仿宋_GB2312"/>
                <w:sz w:val="24"/>
                <w:szCs w:val="24"/>
              </w:rPr>
              <w:t>水质自检计划及水质信息报告”相关内容。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7" w:type="pct"/>
            <w:vAlign w:val="center"/>
          </w:tcPr>
          <w:p>
            <w:pPr>
              <w:spacing w:line="300" w:lineRule="auto"/>
              <w:jc w:val="center"/>
              <w:rPr>
                <w:rFonts w:hint="eastAsia" w:ascii="仿宋_GB2312" w:eastAsia="仿宋_GB2312"/>
                <w:sz w:val="24"/>
                <w:szCs w:val="24"/>
                <w:lang w:eastAsia="zh-CN"/>
              </w:rPr>
            </w:pPr>
            <w:r>
              <w:rPr>
                <w:rFonts w:hint="eastAsia" w:ascii="仿宋_GB2312" w:eastAsia="仿宋_GB2312"/>
                <w:sz w:val="24"/>
                <w:szCs w:val="24"/>
                <w:lang w:val="en-US" w:eastAsia="zh-CN"/>
              </w:rPr>
              <w:t>5</w:t>
            </w:r>
          </w:p>
        </w:tc>
        <w:tc>
          <w:tcPr>
            <w:tcW w:w="531" w:type="pct"/>
            <w:vMerge w:val="continue"/>
            <w:vAlign w:val="center"/>
          </w:tcPr>
          <w:p>
            <w:pPr>
              <w:spacing w:line="300" w:lineRule="auto"/>
              <w:jc w:val="center"/>
              <w:rPr>
                <w:rFonts w:ascii="仿宋_GB2312" w:eastAsia="仿宋_GB2312"/>
                <w:sz w:val="24"/>
                <w:szCs w:val="24"/>
              </w:rPr>
            </w:pPr>
          </w:p>
        </w:tc>
        <w:tc>
          <w:tcPr>
            <w:tcW w:w="2593" w:type="pct"/>
            <w:vAlign w:val="center"/>
          </w:tcPr>
          <w:p>
            <w:pPr>
              <w:spacing w:line="300" w:lineRule="auto"/>
              <w:rPr>
                <w:rFonts w:hint="eastAsia" w:ascii="仿宋_GB2312" w:hAnsi="黑体" w:eastAsia="仿宋_GB2312"/>
                <w:sz w:val="24"/>
                <w:szCs w:val="24"/>
              </w:rPr>
            </w:pPr>
            <w:r>
              <w:rPr>
                <w:rFonts w:hint="eastAsia" w:ascii="仿宋_GB2312" w:hAnsi="黑体" w:eastAsia="仿宋_GB2312"/>
                <w:sz w:val="24"/>
                <w:szCs w:val="24"/>
              </w:rPr>
              <w:t>5、《东莞市供水企业年度评估标准及评分表（第二次征求意见稿）》中3.2.3中“未针对沉淀池（澄清池）排泥水、气浮池浮渣、滤池反冲洗废水及初滤水、膜过滤物理清洗废水进行处理的，缺1项扣0.5分”，建议删除该项扣分项。根据《室外给水设计标准》（GB50013—2018），针对初滤水，“除滤池构造和运行时无法设置初滤水排放设施的滤池外，滤池宜设有初滤水排放设施”。未针对滤池初滤水进行处理作出强制要求，也并未针对水厂其他排泥水进行处理作出强制要求，仅要求水厂排泥水排入河道、沟渠等天然水体的水质应符合现行国家标准《污水综合排放标准》GB8978的有关规定。这要求与第二项评估标准中“排入河道、沟渠等天然水体的水厂排泥水水质不符合《污水综合排放标准》（GB8978）规定的，发现1次扣0.5分”是相对应的，建议以第二项为评估标准，删除第一项。</w:t>
            </w:r>
          </w:p>
        </w:tc>
        <w:tc>
          <w:tcPr>
            <w:tcW w:w="305"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采纳</w:t>
            </w:r>
          </w:p>
        </w:tc>
        <w:tc>
          <w:tcPr>
            <w:tcW w:w="1292" w:type="pct"/>
            <w:vAlign w:val="center"/>
          </w:tcPr>
          <w:p>
            <w:pPr>
              <w:spacing w:line="300" w:lineRule="auto"/>
              <w:rPr>
                <w:rFonts w:ascii="仿宋_GB2312" w:eastAsia="仿宋_GB2312"/>
                <w:sz w:val="24"/>
                <w:szCs w:val="24"/>
              </w:rPr>
            </w:pPr>
            <w:r>
              <w:rPr>
                <w:rFonts w:hint="eastAsia" w:ascii="仿宋_GB2312" w:eastAsia="仿宋_GB2312"/>
                <w:sz w:val="24"/>
                <w:szCs w:val="24"/>
              </w:rPr>
              <w:t>已修改，详见附件评分表中“</w:t>
            </w:r>
            <w:r>
              <w:rPr>
                <w:rFonts w:ascii="仿宋_GB2312" w:eastAsia="仿宋_GB2312"/>
                <w:sz w:val="24"/>
                <w:szCs w:val="24"/>
              </w:rPr>
              <w:t>3.2.3</w:t>
            </w:r>
            <w:r>
              <w:rPr>
                <w:rFonts w:hint="eastAsia" w:ascii="仿宋_GB2312" w:eastAsia="仿宋_GB2312"/>
                <w:sz w:val="24"/>
                <w:szCs w:val="24"/>
              </w:rPr>
              <w:t>排泥水处理”相关内容。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7" w:type="pct"/>
            <w:vAlign w:val="center"/>
          </w:tcPr>
          <w:p>
            <w:pPr>
              <w:spacing w:line="300" w:lineRule="auto"/>
              <w:jc w:val="center"/>
              <w:rPr>
                <w:rFonts w:hint="eastAsia" w:ascii="仿宋_GB2312" w:eastAsia="仿宋_GB2312"/>
                <w:sz w:val="24"/>
                <w:szCs w:val="24"/>
                <w:lang w:eastAsia="zh-CN"/>
              </w:rPr>
            </w:pPr>
            <w:r>
              <w:rPr>
                <w:rFonts w:hint="eastAsia" w:ascii="仿宋_GB2312" w:eastAsia="仿宋_GB2312"/>
                <w:sz w:val="24"/>
                <w:szCs w:val="24"/>
                <w:lang w:val="en-US" w:eastAsia="zh-CN"/>
              </w:rPr>
              <w:t>6</w:t>
            </w:r>
          </w:p>
        </w:tc>
        <w:tc>
          <w:tcPr>
            <w:tcW w:w="531"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常平粤海水务有限公司</w:t>
            </w:r>
          </w:p>
        </w:tc>
        <w:tc>
          <w:tcPr>
            <w:tcW w:w="2593"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无意见</w:t>
            </w:r>
          </w:p>
        </w:tc>
        <w:tc>
          <w:tcPr>
            <w:tcW w:w="305"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w:t>
            </w:r>
          </w:p>
        </w:tc>
        <w:tc>
          <w:tcPr>
            <w:tcW w:w="1292"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4" w:hRule="atLeast"/>
        </w:trPr>
        <w:tc>
          <w:tcPr>
            <w:tcW w:w="277" w:type="pct"/>
            <w:vAlign w:val="center"/>
          </w:tcPr>
          <w:p>
            <w:pPr>
              <w:spacing w:line="300" w:lineRule="auto"/>
              <w:jc w:val="center"/>
              <w:rPr>
                <w:rFonts w:hint="eastAsia" w:ascii="仿宋_GB2312" w:eastAsia="仿宋_GB2312"/>
                <w:sz w:val="24"/>
                <w:szCs w:val="24"/>
                <w:lang w:eastAsia="zh-CN"/>
              </w:rPr>
            </w:pPr>
            <w:r>
              <w:rPr>
                <w:rFonts w:hint="eastAsia" w:ascii="仿宋_GB2312" w:eastAsia="仿宋_GB2312"/>
                <w:sz w:val="24"/>
                <w:szCs w:val="24"/>
                <w:lang w:val="en-US" w:eastAsia="zh-CN"/>
              </w:rPr>
              <w:t>7</w:t>
            </w:r>
          </w:p>
        </w:tc>
        <w:tc>
          <w:tcPr>
            <w:tcW w:w="531"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清溪粤海水务有限公司</w:t>
            </w:r>
          </w:p>
        </w:tc>
        <w:tc>
          <w:tcPr>
            <w:tcW w:w="2593"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无意见</w:t>
            </w:r>
          </w:p>
        </w:tc>
        <w:tc>
          <w:tcPr>
            <w:tcW w:w="305"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w:t>
            </w:r>
          </w:p>
        </w:tc>
        <w:tc>
          <w:tcPr>
            <w:tcW w:w="1292" w:type="pct"/>
            <w:vAlign w:val="center"/>
          </w:tcPr>
          <w:p>
            <w:pPr>
              <w:spacing w:line="300" w:lineRule="auto"/>
              <w:jc w:val="center"/>
              <w:rPr>
                <w:rFonts w:ascii="仿宋_GB2312" w:eastAsia="仿宋_GB2312"/>
                <w:sz w:val="24"/>
                <w:szCs w:val="24"/>
              </w:rPr>
            </w:pPr>
            <w:r>
              <w:rPr>
                <w:rFonts w:hint="eastAsia" w:ascii="仿宋_GB2312" w:eastAsia="仿宋_GB2312"/>
                <w:sz w:val="24"/>
                <w:szCs w:val="24"/>
              </w:rPr>
              <w:t>/</w:t>
            </w:r>
          </w:p>
        </w:tc>
      </w:tr>
    </w:tbl>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true"/>
  <w:embedTrueTypeFonts/>
  <w:saveSubsetFonts/>
  <w:bordersDoNotSurroundHeader w:val="true"/>
  <w:bordersDoNotSurroundFooter w:val="true"/>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TMwYzMzZTQ2ZjI5ODcyNDY1NGRiNzgxY2Q2YjZmMzAifQ=="/>
  </w:docVars>
  <w:rsids>
    <w:rsidRoot w:val="00A90EEA"/>
    <w:rsid w:val="000444F7"/>
    <w:rsid w:val="000F1CE5"/>
    <w:rsid w:val="001838E6"/>
    <w:rsid w:val="00204E0C"/>
    <w:rsid w:val="00322908"/>
    <w:rsid w:val="00392362"/>
    <w:rsid w:val="003B3647"/>
    <w:rsid w:val="003C74E0"/>
    <w:rsid w:val="005248B9"/>
    <w:rsid w:val="005F7489"/>
    <w:rsid w:val="00622C7F"/>
    <w:rsid w:val="00671E9D"/>
    <w:rsid w:val="006D19AB"/>
    <w:rsid w:val="007079CD"/>
    <w:rsid w:val="007A6B81"/>
    <w:rsid w:val="008E67DE"/>
    <w:rsid w:val="008E6FD7"/>
    <w:rsid w:val="0092190A"/>
    <w:rsid w:val="00A36E2E"/>
    <w:rsid w:val="00A57B3D"/>
    <w:rsid w:val="00A90EEA"/>
    <w:rsid w:val="00C32169"/>
    <w:rsid w:val="00C51286"/>
    <w:rsid w:val="00C62564"/>
    <w:rsid w:val="00DF2633"/>
    <w:rsid w:val="00E07EB7"/>
    <w:rsid w:val="00F75BB6"/>
    <w:rsid w:val="00FF5FFF"/>
    <w:rsid w:val="227C42D3"/>
    <w:rsid w:val="4CF04A45"/>
    <w:rsid w:val="5B3D627D"/>
    <w:rsid w:val="670470CE"/>
    <w:rsid w:val="DFFF0891"/>
    <w:rsid w:val="FF9D3B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tabs>
        <w:tab w:val="center" w:pos="4153"/>
        <w:tab w:val="right" w:pos="8306"/>
      </w:tabs>
      <w:snapToGrid w:val="0"/>
      <w:jc w:val="center"/>
    </w:pPr>
    <w:rPr>
      <w:sz w:val="18"/>
      <w:szCs w:val="18"/>
    </w:rPr>
  </w:style>
  <w:style w:type="table" w:styleId="5">
    <w:name w:val="Table Grid"/>
    <w:basedOn w:val="4"/>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7">
    <w:name w:val="页眉 字符"/>
    <w:basedOn w:val="6"/>
    <w:link w:val="3"/>
    <w:qFormat/>
    <w:uiPriority w:val="99"/>
    <w:rPr>
      <w:kern w:val="2"/>
      <w:sz w:val="18"/>
      <w:szCs w:val="18"/>
    </w:rPr>
  </w:style>
  <w:style w:type="character" w:customStyle="1" w:styleId="8">
    <w:name w:val="页脚 字符"/>
    <w:basedOn w:val="6"/>
    <w:link w:val="2"/>
    <w:qFormat/>
    <w:uiPriority w:val="99"/>
    <w:rPr>
      <w:kern w:val="2"/>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false"/>
        </a:gradFill>
        <a:gradFill rotWithShape="true">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false"/>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true">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fals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501</Words>
  <Characters>2860</Characters>
  <Lines>23</Lines>
  <Paragraphs>6</Paragraphs>
  <TotalTime>198</TotalTime>
  <ScaleCrop>false</ScaleCrop>
  <LinksUpToDate>false</LinksUpToDate>
  <CharactersWithSpaces>3355</CharactersWithSpaces>
  <Application>WPS Office_11.8.2.10422_F1E327BC-269C-435d-A152-05C5408002CA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2024-01-29T17:33:00Z</dcterms:created>
  <dc:creator>LL WEI</dc:creator>
  <cp:lastModifiedBy>guest</cp:lastModifiedBy>
  <dcterms:modified xsi:type="dcterms:W3CDTF">2024-05-23T16:27:22Z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2052-11.8.2.10422</vt:lpwstr>
  </property>
  <property fmtid="{D5CDD505-2E9C-101B-9397-08002B2CF9AE}" pid="3" name="ICV">
    <vt:lpwstr>9475CD06514C44818DBBC3F5D6743C71_13</vt:lpwstr>
  </property>
</Properties>
</file>